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91F8">
      <w:pPr>
        <w:spacing w:line="360" w:lineRule="auto"/>
        <w:jc w:val="left"/>
        <w:rPr>
          <w:rFonts w:hint="eastAsia" w:ascii="Times New Roman" w:hAnsi="Times New Roman" w:cs="Times New Roman" w:eastAsiaTheme="minorEastAsia"/>
          <w:i/>
          <w:iCs/>
          <w:sz w:val="24"/>
          <w:szCs w:val="24"/>
          <w:lang w:val="en-US" w:eastAsia="zh-CN"/>
        </w:rPr>
      </w:pPr>
      <w:r>
        <w:rPr>
          <w:rFonts w:hint="eastAsia" w:ascii="Times New Roman" w:hAnsi="Times New Roman" w:cs="Times New Roman"/>
          <w:i/>
          <w:iCs/>
          <w:sz w:val="24"/>
          <w:szCs w:val="24"/>
          <w:lang w:val="en-US" w:eastAsia="zh-CN"/>
        </w:rPr>
        <w:t>Type</w:t>
      </w:r>
    </w:p>
    <w:p w14:paraId="29EC30FB">
      <w:pPr>
        <w:pBdr>
          <w:bottom w:val="single" w:color="auto" w:sz="6" w:space="1"/>
        </w:pBdr>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16C8BF19">
      <w:pPr>
        <w:pBdr>
          <w:bottom w:val="single" w:color="auto" w:sz="6" w:space="1"/>
        </w:pBd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Running Title</w:t>
      </w:r>
    </w:p>
    <w:p w14:paraId="61F25A1C">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3DB8A44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which is subject to the article type. The abstract should provide a brief summary of the paper. It should not contain any non-standard abbreviations, acknowledgments of support, references, footnotes.</w:t>
      </w:r>
    </w:p>
    <w:p w14:paraId="29BC3E29">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2</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3</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4</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5</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6</w:t>
      </w:r>
      <w:bookmarkStart w:id="2" w:name="_GoBack"/>
      <w:bookmarkEnd w:id="2"/>
    </w:p>
    <w:p w14:paraId="209B2355">
      <w:pPr>
        <w:spacing w:line="360" w:lineRule="auto"/>
        <w:jc w:val="both"/>
        <w:rPr>
          <w:rFonts w:ascii="Times New Roman" w:hAnsi="Times New Roman" w:cs="Times New Roman"/>
          <w:sz w:val="24"/>
          <w:szCs w:val="24"/>
          <w:lang w:val="en-GB"/>
        </w:rPr>
      </w:pPr>
    </w:p>
    <w:p w14:paraId="759B478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Introduction</w:t>
      </w:r>
    </w:p>
    <w:p w14:paraId="2ED37B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20BDF097">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Introduction.</w:t>
      </w:r>
    </w:p>
    <w:p w14:paraId="6EC954D9">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5801329">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Multidisciplinary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7-9]</w:t>
      </w:r>
      <w:r>
        <w:rPr>
          <w:rFonts w:ascii="Times New Roman" w:hAnsi="Times New Roman" w:cs="Times New Roman"/>
          <w:iCs/>
          <w:sz w:val="24"/>
          <w:szCs w:val="24"/>
        </w:rPr>
        <w:t>.</w:t>
      </w:r>
    </w:p>
    <w:p w14:paraId="6950EE1C">
      <w:pPr>
        <w:spacing w:line="360" w:lineRule="auto"/>
        <w:jc w:val="both"/>
        <w:rPr>
          <w:rFonts w:ascii="Times New Roman" w:hAnsi="Times New Roman" w:cs="Times New Roman"/>
          <w:sz w:val="24"/>
          <w:szCs w:val="24"/>
        </w:rPr>
      </w:pPr>
    </w:p>
    <w:p w14:paraId="7A38CC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Materials and methods</w:t>
      </w:r>
    </w:p>
    <w:p w14:paraId="584CBF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14:paraId="160F1E65">
      <w:pPr>
        <w:spacing w:line="360" w:lineRule="auto"/>
        <w:jc w:val="both"/>
        <w:rPr>
          <w:rFonts w:ascii="Times New Roman" w:hAnsi="Times New Roman" w:cs="Times New Roman"/>
          <w:sz w:val="24"/>
          <w:szCs w:val="24"/>
        </w:rPr>
      </w:pPr>
      <w:r>
        <w:rPr>
          <w:rFonts w:ascii="Times New Roman" w:hAnsi="Times New Roman" w:cs="Times New Roman"/>
          <w:sz w:val="24"/>
          <w:szCs w:val="24"/>
        </w:rPr>
        <w:t>State all the materials used in the study, and include the manufacturer’s name, city and country of origin.</w:t>
      </w:r>
    </w:p>
    <w:p w14:paraId="6DA166D2">
      <w:pPr>
        <w:spacing w:line="360" w:lineRule="auto"/>
        <w:jc w:val="both"/>
        <w:rPr>
          <w:rFonts w:ascii="Times New Roman" w:hAnsi="Times New Roman" w:cs="Times New Roman"/>
          <w:sz w:val="24"/>
          <w:szCs w:val="24"/>
        </w:rPr>
      </w:pPr>
    </w:p>
    <w:p w14:paraId="5A39C0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Method 1</w:t>
      </w:r>
    </w:p>
    <w:p w14:paraId="7689AD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clearly and concisely. </w:t>
      </w:r>
    </w:p>
    <w:p w14:paraId="4CD5A957">
      <w:pPr>
        <w:spacing w:line="360" w:lineRule="auto"/>
        <w:jc w:val="both"/>
        <w:rPr>
          <w:rFonts w:ascii="Times New Roman" w:hAnsi="Times New Roman" w:cs="Times New Roman"/>
          <w:sz w:val="24"/>
          <w:szCs w:val="24"/>
        </w:rPr>
      </w:pPr>
    </w:p>
    <w:p w14:paraId="1A44F6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Method 2</w:t>
      </w:r>
    </w:p>
    <w:p w14:paraId="48E177CD">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 method clearly and concisely.</w:t>
      </w:r>
    </w:p>
    <w:p w14:paraId="65AF2EF4">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262B5833">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51EB1960">
      <w:pPr>
        <w:spacing w:line="360" w:lineRule="auto"/>
        <w:jc w:val="both"/>
        <w:rPr>
          <w:rFonts w:ascii="Times New Roman" w:hAnsi="Times New Roman" w:cs="Times New Roman"/>
          <w:sz w:val="24"/>
          <w:szCs w:val="24"/>
        </w:rPr>
      </w:pPr>
    </w:p>
    <w:p w14:paraId="431FFF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Description A</w:t>
      </w:r>
    </w:p>
    <w:p w14:paraId="2C95E758">
      <w:pPr>
        <w:spacing w:line="360" w:lineRule="auto"/>
        <w:jc w:val="both"/>
        <w:rPr>
          <w:rFonts w:ascii="Times New Roman" w:hAnsi="Times New Roman" w:cs="Times New Roman"/>
          <w:sz w:val="24"/>
          <w:szCs w:val="24"/>
        </w:rPr>
      </w:pPr>
      <w:bookmarkStart w:id="0" w:name="_Hlk107914966"/>
      <w:r>
        <w:rPr>
          <w:rFonts w:ascii="Times New Roman" w:hAnsi="Times New Roman" w:cs="Times New Roman"/>
          <w:i/>
          <w:iCs/>
          <w:sz w:val="24"/>
          <w:szCs w:val="24"/>
        </w:rPr>
        <w:t xml:space="preserve">Advanced Neurology </w:t>
      </w:r>
      <w:bookmarkEnd w:id="0"/>
      <w:r>
        <w:rPr>
          <w:rFonts w:ascii="Times New Roman" w:hAnsi="Times New Roman" w:cs="Times New Roman"/>
          <w:sz w:val="24"/>
          <w:szCs w:val="24"/>
        </w:rPr>
        <w:t>allows up to 3 levels of headings.</w:t>
      </w:r>
    </w:p>
    <w:p w14:paraId="1496C1EC">
      <w:pPr>
        <w:spacing w:line="360" w:lineRule="auto"/>
        <w:jc w:val="both"/>
        <w:rPr>
          <w:rFonts w:ascii="Times New Roman" w:hAnsi="Times New Roman" w:cs="Times New Roman"/>
          <w:sz w:val="24"/>
          <w:szCs w:val="24"/>
        </w:rPr>
      </w:pPr>
    </w:p>
    <w:p w14:paraId="6D9479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Description B</w:t>
      </w:r>
    </w:p>
    <w:p w14:paraId="4AE97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655D37FF">
      <w:pPr>
        <w:spacing w:line="360" w:lineRule="auto"/>
        <w:jc w:val="both"/>
        <w:rPr>
          <w:rFonts w:ascii="Times New Roman" w:hAnsi="Times New Roman" w:cs="Times New Roman"/>
          <w:sz w:val="24"/>
          <w:szCs w:val="24"/>
        </w:rPr>
      </w:pPr>
    </w:p>
    <w:p w14:paraId="68ED808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14:paraId="44A99FC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Include at least one paragraphs describing the statistical tests and software used for data analysis.</w:t>
      </w:r>
    </w:p>
    <w:p w14:paraId="474EA508">
      <w:pPr>
        <w:spacing w:line="360" w:lineRule="auto"/>
        <w:jc w:val="both"/>
        <w:rPr>
          <w:rFonts w:ascii="Times New Roman" w:hAnsi="Times New Roman" w:cs="Times New Roman"/>
          <w:sz w:val="24"/>
          <w:szCs w:val="24"/>
          <w:lang w:val="en-GB"/>
        </w:rPr>
      </w:pPr>
    </w:p>
    <w:p w14:paraId="143DD71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Results</w:t>
      </w:r>
    </w:p>
    <w:p w14:paraId="06F49D7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3.1. Result A</w:t>
      </w:r>
    </w:p>
    <w:p w14:paraId="60502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14:paraId="52A3D6B1">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77E1F675">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2C22DE98">
      <w:pPr>
        <w:spacing w:line="360" w:lineRule="auto"/>
        <w:jc w:val="both"/>
        <w:rPr>
          <w:rFonts w:ascii="Times New Roman" w:hAnsi="Times New Roman" w:cs="Times New Roman"/>
          <w:sz w:val="24"/>
          <w:szCs w:val="24"/>
          <w:lang w:val="en-GB"/>
        </w:rPr>
      </w:pPr>
    </w:p>
    <w:p w14:paraId="3ED48D5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14:paraId="2045A3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MRI of the kidney,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of apoptosis,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p w14:paraId="2003C7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 of the clinical study.</w:t>
      </w:r>
    </w:p>
    <w:p w14:paraId="7228650D">
      <w:pPr>
        <w:spacing w:line="360" w:lineRule="auto"/>
        <w:jc w:val="both"/>
        <w:rPr>
          <w:rFonts w:ascii="Times New Roman" w:hAnsi="Times New Roman" w:cs="Times New Roman"/>
          <w:sz w:val="24"/>
          <w:szCs w:val="24"/>
        </w:rPr>
      </w:pPr>
    </w:p>
    <w:p w14:paraId="3233AF3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14:paraId="68C8B4F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3.3.1. Description A</w:t>
      </w:r>
    </w:p>
    <w:p w14:paraId="5A262B9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Advanced Neurology </w:t>
      </w:r>
      <w:r>
        <w:rPr>
          <w:rFonts w:ascii="Times New Roman" w:hAnsi="Times New Roman" w:cs="Times New Roman"/>
          <w:sz w:val="24"/>
          <w:szCs w:val="24"/>
        </w:rPr>
        <w:t>allows up to 3 levels of headings.</w:t>
      </w:r>
    </w:p>
    <w:p w14:paraId="3D79CEE4">
      <w:pPr>
        <w:spacing w:line="360" w:lineRule="auto"/>
        <w:jc w:val="both"/>
        <w:rPr>
          <w:rFonts w:ascii="Times New Roman" w:hAnsi="Times New Roman" w:cs="Times New Roman"/>
          <w:sz w:val="24"/>
          <w:szCs w:val="24"/>
        </w:rPr>
      </w:pPr>
    </w:p>
    <w:p w14:paraId="31A1E002">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3.3.2. Description B</w:t>
      </w:r>
    </w:p>
    <w:p w14:paraId="123A8B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694BEEEC">
      <w:pPr>
        <w:spacing w:line="360" w:lineRule="auto"/>
        <w:jc w:val="both"/>
        <w:rPr>
          <w:rFonts w:ascii="Times New Roman" w:hAnsi="Times New Roman" w:cs="Times New Roman"/>
          <w:sz w:val="24"/>
          <w:szCs w:val="24"/>
          <w:lang w:val="en-GB"/>
        </w:rPr>
      </w:pPr>
    </w:p>
    <w:p w14:paraId="1FFF07E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20B409C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Discussion can be presented alone, independent of Results section. Alternatively, Discussion can also be merged with Results as </w:t>
      </w:r>
      <w:r>
        <w:rPr>
          <w:rFonts w:ascii="Times New Roman" w:hAnsi="Times New Roman" w:cs="Times New Roman"/>
          <w:b/>
          <w:bCs/>
          <w:sz w:val="24"/>
          <w:szCs w:val="24"/>
          <w:lang w:val="en-GB"/>
        </w:rPr>
        <w:t>3. Results and Discussion</w:t>
      </w:r>
      <w:r>
        <w:rPr>
          <w:rFonts w:ascii="Times New Roman" w:hAnsi="Times New Roman" w:cs="Times New Roman"/>
          <w:sz w:val="24"/>
          <w:szCs w:val="24"/>
          <w:lang w:val="en-GB"/>
        </w:rPr>
        <w:t xml:space="preserve">, and sub-sections can be used for better presentation too. </w:t>
      </w:r>
    </w:p>
    <w:p w14:paraId="77426FB4">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7-10]</w:t>
      </w:r>
      <w:r>
        <w:rPr>
          <w:rFonts w:ascii="Times New Roman" w:hAnsi="Times New Roman" w:cs="Times New Roman"/>
          <w:iCs/>
          <w:sz w:val="24"/>
          <w:szCs w:val="24"/>
        </w:rPr>
        <w:t>.</w:t>
      </w:r>
    </w:p>
    <w:p w14:paraId="72520BB6">
      <w:pPr>
        <w:spacing w:line="360" w:lineRule="auto"/>
        <w:jc w:val="both"/>
        <w:rPr>
          <w:rFonts w:ascii="Times New Roman" w:hAnsi="Times New Roman" w:cs="Times New Roman"/>
          <w:sz w:val="24"/>
          <w:szCs w:val="24"/>
          <w:lang w:val="en-GB"/>
        </w:rPr>
      </w:pPr>
    </w:p>
    <w:p w14:paraId="4CBDE1C6">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Conclusion</w:t>
      </w:r>
    </w:p>
    <w:p w14:paraId="575512B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 should be concise. Present only the most important take-home message in this section.</w:t>
      </w:r>
    </w:p>
    <w:p w14:paraId="7F36C33A">
      <w:pPr>
        <w:spacing w:line="360" w:lineRule="auto"/>
        <w:jc w:val="both"/>
        <w:rPr>
          <w:rFonts w:ascii="Times New Roman" w:hAnsi="Times New Roman" w:cs="Times New Roman"/>
          <w:sz w:val="24"/>
          <w:szCs w:val="24"/>
          <w:lang w:val="en-GB"/>
        </w:rPr>
      </w:pPr>
    </w:p>
    <w:p w14:paraId="2993892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5DAF50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References must be numbered. Include DOI if available. Managing references using software, such as EndNote and Mendeley, is strongly recommended. Personal communications and unpublished works should be excluded from this section. </w:t>
      </w:r>
      <w:bookmarkStart w:id="1" w:name="OLE_LINK1"/>
      <w:r>
        <w:rPr>
          <w:rFonts w:ascii="Times New Roman" w:hAnsi="Times New Roman" w:cs="Times New Roman"/>
          <w:sz w:val="24"/>
          <w:szCs w:val="24"/>
          <w:lang w:val="en-GB"/>
        </w:rPr>
        <w:t>Refer to the Instructions for Author Guidelines (</w:t>
      </w:r>
      <w:r>
        <w:fldChar w:fldCharType="begin"/>
      </w:r>
      <w:r>
        <w:instrText xml:space="preserve"> HYPERLINK "https://accscience.com/journal/AN/instructions" </w:instrText>
      </w:r>
      <w:r>
        <w:fldChar w:fldCharType="separate"/>
      </w:r>
      <w:r>
        <w:rPr>
          <w:rStyle w:val="8"/>
          <w:rFonts w:ascii="Times New Roman" w:hAnsi="Times New Roman" w:cs="Times New Roman"/>
          <w:sz w:val="24"/>
          <w:szCs w:val="24"/>
        </w:rPr>
        <w:t>https://accscience.com/journal/AN/instructions</w:t>
      </w:r>
      <w:r>
        <w:rPr>
          <w:rStyle w:val="8"/>
          <w:rFonts w:ascii="Times New Roman" w:hAnsi="Times New Roman" w:cs="Times New Roman"/>
          <w:sz w:val="24"/>
          <w:szCs w:val="24"/>
        </w:rPr>
        <w:fldChar w:fldCharType="end"/>
      </w:r>
      <w:r>
        <w:rPr>
          <w:rFonts w:ascii="Times New Roman" w:hAnsi="Times New Roman" w:cs="Times New Roman"/>
          <w:sz w:val="24"/>
          <w:szCs w:val="24"/>
          <w:lang w:val="en-GB"/>
        </w:rPr>
        <w:t>) for more information.</w:t>
      </w:r>
    </w:p>
    <w:bookmarkEnd w:id="1"/>
    <w:p w14:paraId="0F0C3076">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Hart RG, Catanese L, Perera KS, Ntaios G, Connolly SJ. Embolic stroke of undetermined source: A systematic review and clinical update.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2017;48(4):867-872. doi: 10.1161/STROKEAHA.116.016414</w:t>
      </w:r>
    </w:p>
    <w:p w14:paraId="66CCBCD0">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Kleindorfer DO, Towfighi A, Chaturvedi S,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2021 guideline for the prevention of stroke in patients with stroke and transient ischemic attack: A guideline from the American Heart Association/American Stroke Association.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2021;52(7):e364-e467. doi: 10.1161/STR.0000000000000375</w:t>
      </w:r>
    </w:p>
    <w:p w14:paraId="242DD41F">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Diener HC, Easton JD, Hart RG, Kasner S, Kamel H, Ntaios G. Review and update of the concept of embolic stroke of undetermined source. </w:t>
      </w:r>
      <w:r>
        <w:rPr>
          <w:rFonts w:hint="eastAsia" w:ascii="Times New Roman" w:hAnsi="Times New Roman" w:cs="Times New Roman"/>
          <w:i/>
          <w:iCs/>
          <w:sz w:val="24"/>
          <w:szCs w:val="24"/>
        </w:rPr>
        <w:t>Nat Rev Neurol.</w:t>
      </w:r>
      <w:r>
        <w:rPr>
          <w:rFonts w:hint="eastAsia" w:ascii="Times New Roman" w:hAnsi="Times New Roman" w:cs="Times New Roman"/>
          <w:sz w:val="24"/>
          <w:szCs w:val="24"/>
        </w:rPr>
        <w:t xml:space="preserve"> 2022;18(8):455-465. doi: 10.1038/s41582-022-00663-4</w:t>
      </w:r>
    </w:p>
    <w:p w14:paraId="4A1AC0C3">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Toi S, Shirai Y, Ishizuka K,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Recurrent stroke incidence and etiology in patients with embolic stroke of undetermined source and other stroke subtypes. </w:t>
      </w:r>
      <w:r>
        <w:rPr>
          <w:rFonts w:hint="eastAsia" w:ascii="Times New Roman" w:hAnsi="Times New Roman" w:cs="Times New Roman"/>
          <w:i/>
          <w:iCs/>
          <w:sz w:val="24"/>
          <w:szCs w:val="24"/>
        </w:rPr>
        <w:t>J Atheroscler Thromb</w:t>
      </w:r>
      <w:r>
        <w:rPr>
          <w:rFonts w:hint="eastAsia" w:ascii="Times New Roman" w:hAnsi="Times New Roman" w:cs="Times New Roman"/>
          <w:sz w:val="24"/>
          <w:szCs w:val="24"/>
        </w:rPr>
        <w:t>. 2022;29(3):393-402. doi: 10.5551/jat.61895</w:t>
      </w:r>
    </w:p>
    <w:p w14:paraId="296CA4FA">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Veltkamp R, Pearce LA, Korompoki E,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Characteristics of recurrent ischemic stroke after embolic stroke of undetermined source: Secondary analysis of a randomized clinical trial.</w:t>
      </w:r>
      <w:r>
        <w:rPr>
          <w:rFonts w:hint="eastAsia" w:ascii="Times New Roman" w:hAnsi="Times New Roman" w:cs="Times New Roman"/>
          <w:i/>
          <w:iCs/>
          <w:sz w:val="24"/>
          <w:szCs w:val="24"/>
        </w:rPr>
        <w:t xml:space="preserve"> JAMA Neurol. </w:t>
      </w:r>
      <w:r>
        <w:rPr>
          <w:rFonts w:hint="eastAsia" w:ascii="Times New Roman" w:hAnsi="Times New Roman" w:cs="Times New Roman"/>
          <w:sz w:val="24"/>
          <w:szCs w:val="24"/>
        </w:rPr>
        <w:t>2020;77(10):1233-1240. doi: 10.1001/jamaneurol.2020.1995</w:t>
      </w:r>
    </w:p>
    <w:p w14:paraId="646B5F7A">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Leventis I, Perlepe K, Sagris D,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Characteristics and outcomes of Embolic Stroke of Undetermined Source according to stroke severity. </w:t>
      </w:r>
      <w:r>
        <w:rPr>
          <w:rFonts w:hint="eastAsia" w:ascii="Times New Roman" w:hAnsi="Times New Roman" w:cs="Times New Roman"/>
          <w:i/>
          <w:iCs/>
          <w:sz w:val="24"/>
          <w:szCs w:val="24"/>
        </w:rPr>
        <w:t>Int J Stroke.</w:t>
      </w:r>
      <w:r>
        <w:rPr>
          <w:rFonts w:hint="eastAsia" w:ascii="Times New Roman" w:hAnsi="Times New Roman" w:cs="Times New Roman"/>
          <w:sz w:val="24"/>
          <w:szCs w:val="24"/>
        </w:rPr>
        <w:t xml:space="preserve"> 2020;15(8):866-871. doi: 10.1177/1747493020909546</w:t>
      </w:r>
    </w:p>
    <w:p w14:paraId="655C0BA2">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Ntaios G, Perlepe K, Lambrou D,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Prevalence and overlap of potential embolic sources in patients with embolic stroke of undetermined source. </w:t>
      </w:r>
      <w:r>
        <w:rPr>
          <w:rFonts w:hint="eastAsia" w:ascii="Times New Roman" w:hAnsi="Times New Roman" w:cs="Times New Roman"/>
          <w:i/>
          <w:iCs/>
          <w:sz w:val="24"/>
          <w:szCs w:val="24"/>
        </w:rPr>
        <w:t xml:space="preserve">J Am Heart Assoc. </w:t>
      </w:r>
      <w:r>
        <w:rPr>
          <w:rFonts w:hint="eastAsia" w:ascii="Times New Roman" w:hAnsi="Times New Roman" w:cs="Times New Roman"/>
          <w:sz w:val="24"/>
          <w:szCs w:val="24"/>
        </w:rPr>
        <w:t>2019;8(15):e012858. doi: 10.1161/JAHA.119.012858</w:t>
      </w:r>
    </w:p>
    <w:p w14:paraId="2119C184">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Ntaios G, Papavasileiou V, Milionis H,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Embolic strokes of undetermined source in the Athens stroke registry: An outcome analysis.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2015;46(8):2087-2093. doi: 10.1161/STROKEAHA.115.009334</w:t>
      </w:r>
    </w:p>
    <w:p w14:paraId="29D0A721">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Rubiera M, Aires A, Antonenko K,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European stroke organisation (ESO) guideline on screening for subclinical atrial fibrillation after stroke or transient ischaemic attack of undetermined origin. </w:t>
      </w:r>
      <w:r>
        <w:rPr>
          <w:rFonts w:hint="eastAsia" w:ascii="Times New Roman" w:hAnsi="Times New Roman" w:cs="Times New Roman"/>
          <w:i/>
          <w:iCs/>
          <w:sz w:val="24"/>
          <w:szCs w:val="24"/>
        </w:rPr>
        <w:t>Eur Stroke J</w:t>
      </w:r>
      <w:r>
        <w:rPr>
          <w:rFonts w:hint="eastAsia" w:ascii="Times New Roman" w:hAnsi="Times New Roman" w:cs="Times New Roman"/>
          <w:sz w:val="24"/>
          <w:szCs w:val="24"/>
        </w:rPr>
        <w:t>. 2022;7(3):6. doi: 10.1177/23969873221099478</w:t>
      </w:r>
    </w:p>
    <w:p w14:paraId="6B2B6FBF">
      <w:pPr>
        <w:pStyle w:val="13"/>
        <w:numPr>
          <w:ilvl w:val="0"/>
          <w:numId w:val="1"/>
        </w:numPr>
        <w:spacing w:line="360" w:lineRule="auto"/>
        <w:ind w:left="510" w:hanging="510"/>
        <w:jc w:val="both"/>
        <w:rPr>
          <w:rFonts w:ascii="Times New Roman" w:hAnsi="Times New Roman" w:cs="Times New Roman"/>
          <w:sz w:val="24"/>
          <w:szCs w:val="24"/>
        </w:rPr>
      </w:pPr>
      <w:r>
        <w:rPr>
          <w:rFonts w:hint="eastAsia" w:ascii="Times New Roman" w:hAnsi="Times New Roman" w:cs="Times New Roman"/>
          <w:sz w:val="24"/>
          <w:szCs w:val="24"/>
        </w:rPr>
        <w:t xml:space="preserve">Schnabel RB, Haeusler KG, Healey JS,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Searching for atrial fibrillation poststroke: A white paper of the AF-SCREEN international collaboration. </w:t>
      </w:r>
      <w:r>
        <w:rPr>
          <w:rFonts w:hint="eastAsia" w:ascii="Times New Roman" w:hAnsi="Times New Roman" w:cs="Times New Roman"/>
          <w:i/>
          <w:iCs/>
          <w:sz w:val="24"/>
          <w:szCs w:val="24"/>
        </w:rPr>
        <w:t xml:space="preserve">Circulation. </w:t>
      </w:r>
      <w:r>
        <w:rPr>
          <w:rFonts w:hint="eastAsia" w:ascii="Times New Roman" w:hAnsi="Times New Roman" w:cs="Times New Roman"/>
          <w:sz w:val="24"/>
          <w:szCs w:val="24"/>
        </w:rPr>
        <w:t>2019;140(22):1834-1850. doi: 10.1161/CIRCULATIONAHA.119.040267</w:t>
      </w:r>
    </w:p>
    <w:p w14:paraId="54589E4D">
      <w:pPr>
        <w:pStyle w:val="13"/>
        <w:numPr>
          <w:ilvl w:val="0"/>
          <w:numId w:val="0"/>
        </w:numPr>
        <w:spacing w:after="160" w:line="360" w:lineRule="auto"/>
        <w:contextualSpacing/>
        <w:jc w:val="both"/>
        <w:rPr>
          <w:rFonts w:hint="eastAsia" w:ascii="Times New Roman" w:hAnsi="Times New Roman" w:cs="Times New Roman"/>
          <w:sz w:val="24"/>
          <w:szCs w:val="24"/>
        </w:rPr>
      </w:pPr>
    </w:p>
    <w:p w14:paraId="0CDB5B50">
      <w:pPr>
        <w:pStyle w:val="13"/>
        <w:numPr>
          <w:ilvl w:val="0"/>
          <w:numId w:val="0"/>
        </w:numPr>
        <w:spacing w:after="160" w:line="360" w:lineRule="auto"/>
        <w:contextualSpacing/>
        <w:jc w:val="both"/>
        <w:rPr>
          <w:rFonts w:hint="eastAsia" w:ascii="Times New Roman" w:hAnsi="Times New Roman" w:cs="Times New Roman"/>
          <w:sz w:val="24"/>
          <w:szCs w:val="24"/>
        </w:rPr>
      </w:pPr>
    </w:p>
    <w:p w14:paraId="794BBBA2">
      <w:pPr>
        <w:spacing w:line="360" w:lineRule="auto"/>
        <w:jc w:val="both"/>
        <w:rPr>
          <w:rFonts w:ascii="Times New Roman" w:hAnsi="Times New Roman" w:cs="Times New Roman"/>
          <w:sz w:val="24"/>
          <w:szCs w:val="24"/>
          <w:lang w:val="en-GB"/>
        </w:rPr>
      </w:pPr>
    </w:p>
    <w:p w14:paraId="26F4DF1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14:paraId="3B6EBC29">
      <w:pPr>
        <w:spacing w:line="360" w:lineRule="auto"/>
        <w:jc w:val="both"/>
        <w:rPr>
          <w:rFonts w:ascii="Times New Roman" w:hAnsi="Times New Roman" w:cs="Times New Roman"/>
          <w:sz w:val="24"/>
          <w:szCs w:val="24"/>
          <w:lang w:val="en-GB"/>
        </w:rPr>
      </w:pPr>
      <w:r>
        <w:rPr>
          <w:lang w:val="en-GB"/>
        </w:rPr>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165BF5D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3861E26B">
      <w:pPr>
        <w:spacing w:line="360" w:lineRule="auto"/>
        <w:jc w:val="both"/>
        <w:rPr>
          <w:rFonts w:ascii="Times New Roman" w:hAnsi="Times New Roman" w:cs="Times New Roman"/>
          <w:sz w:val="24"/>
          <w:szCs w:val="24"/>
          <w:lang w:val="en-GB"/>
        </w:rPr>
      </w:pPr>
    </w:p>
    <w:p w14:paraId="33517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2D4F2CA4">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1ACCD69B">
      <w:pPr>
        <w:spacing w:line="360" w:lineRule="auto"/>
        <w:jc w:val="both"/>
        <w:rPr>
          <w:rFonts w:ascii="Times New Roman" w:hAnsi="Times New Roman" w:cs="Times New Roman"/>
          <w:sz w:val="24"/>
          <w:szCs w:val="24"/>
          <w:lang w:val="en-GB"/>
        </w:rPr>
      </w:pPr>
    </w:p>
    <w:p w14:paraId="1196DF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5C76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4B4F896A">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5BDDD43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07E7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4293E678">
            <w:pPr>
              <w:spacing w:after="0" w:line="360" w:lineRule="auto"/>
              <w:jc w:val="both"/>
              <w:rPr>
                <w:rFonts w:ascii="Times New Roman" w:hAnsi="Times New Roman" w:cs="Times New Roman"/>
                <w:b/>
                <w:bCs/>
                <w:sz w:val="24"/>
                <w:szCs w:val="24"/>
                <w:lang w:val="en-GB"/>
              </w:rPr>
            </w:pPr>
          </w:p>
        </w:tc>
        <w:tc>
          <w:tcPr>
            <w:tcW w:w="2337" w:type="dxa"/>
          </w:tcPr>
          <w:p w14:paraId="06BE278C">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693CD0B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4BAB020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5DB1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494054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7F7ED093">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567FBA3E">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4874141D">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302A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21E57D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2C3304D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5C71562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5AB7C1A9">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7710AA6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0CC1F15E">
      <w:pPr>
        <w:spacing w:line="360" w:lineRule="auto"/>
        <w:jc w:val="both"/>
        <w:rPr>
          <w:rFonts w:ascii="Times New Roman" w:hAnsi="Times New Roman" w:cs="Times New Roman"/>
          <w:sz w:val="24"/>
          <w:szCs w:val="24"/>
          <w:lang w:val="en-GB"/>
        </w:rPr>
      </w:pPr>
    </w:p>
    <w:p w14:paraId="60B1A0CC">
      <w:pPr>
        <w:spacing w:line="360" w:lineRule="auto"/>
        <w:jc w:val="both"/>
        <w:rPr>
          <w:rFonts w:ascii="Times New Roman" w:hAnsi="Times New Roman" w:cs="Times New Roman"/>
          <w:sz w:val="24"/>
          <w:szCs w:val="24"/>
          <w:lang w:val="en-GB"/>
        </w:rPr>
      </w:pPr>
    </w:p>
    <w:p w14:paraId="614A69E6">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3CCC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1C1D7DD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2405D235">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7ABC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C3DB466">
            <w:pPr>
              <w:spacing w:after="0" w:line="360" w:lineRule="auto"/>
              <w:jc w:val="both"/>
              <w:rPr>
                <w:rFonts w:ascii="Times New Roman" w:hAnsi="Times New Roman" w:cs="Times New Roman"/>
                <w:b/>
                <w:bCs/>
                <w:sz w:val="24"/>
                <w:szCs w:val="24"/>
                <w:lang w:val="en-GB"/>
              </w:rPr>
            </w:pPr>
          </w:p>
        </w:tc>
        <w:tc>
          <w:tcPr>
            <w:tcW w:w="2337" w:type="dxa"/>
          </w:tcPr>
          <w:p w14:paraId="03DF67B2">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60AA3165">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107AE6A7">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22D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06DF02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05A23CB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6574582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67D8C62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1A6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9B0942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32CAC7F6">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3E761F06">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1E2EC652">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2B894AB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5D5849D">
      <w:pPr>
        <w:spacing w:line="360" w:lineRule="auto"/>
        <w:jc w:val="both"/>
        <w:rPr>
          <w:rFonts w:ascii="Times New Roman" w:hAnsi="Times New Roman" w:cs="Times New Roman"/>
          <w:sz w:val="24"/>
          <w:szCs w:val="24"/>
          <w:lang w:val="en-GB"/>
        </w:rPr>
      </w:pPr>
    </w:p>
    <w:p w14:paraId="5B1A070D">
      <w:pPr>
        <w:spacing w:line="360" w:lineRule="auto"/>
        <w:jc w:val="both"/>
        <w:rPr>
          <w:rFonts w:ascii="Times New Roman" w:hAnsi="Times New Roman" w:cs="Times New Roman"/>
          <w:sz w:val="24"/>
          <w:szCs w:val="24"/>
          <w:lang w:val="en-GB"/>
        </w:rPr>
      </w:pPr>
    </w:p>
    <w:p w14:paraId="295B4E9F">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981983"/>
      <w:docPartObj>
        <w:docPartGallery w:val="autotext"/>
      </w:docPartObj>
    </w:sdtPr>
    <w:sdtContent>
      <w:p w14:paraId="4910D408">
        <w:pPr>
          <w:pStyle w:val="3"/>
          <w:jc w:val="center"/>
        </w:pPr>
        <w:r>
          <w:fldChar w:fldCharType="begin"/>
        </w:r>
        <w:r>
          <w:instrText xml:space="preserve"> PAGE   \* MERGEFORMAT </w:instrText>
        </w:r>
        <w:r>
          <w:fldChar w:fldCharType="separate"/>
        </w:r>
        <w:r>
          <w:t>2</w:t>
        </w:r>
        <w:r>
          <w:fldChar w:fldCharType="end"/>
        </w:r>
      </w:p>
    </w:sdtContent>
  </w:sdt>
  <w:p w14:paraId="6F8AEB1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EC87">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4419D05F">
    <w:pPr>
      <w:pStyle w:val="4"/>
    </w:pPr>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7BAE"/>
    <w:multiLevelType w:val="multilevel"/>
    <w:tmpl w:val="64457B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147178"/>
    <w:rsid w:val="001704CB"/>
    <w:rsid w:val="001E647C"/>
    <w:rsid w:val="00255241"/>
    <w:rsid w:val="002C6685"/>
    <w:rsid w:val="00307923"/>
    <w:rsid w:val="003B0978"/>
    <w:rsid w:val="004434E3"/>
    <w:rsid w:val="00490305"/>
    <w:rsid w:val="004F30C3"/>
    <w:rsid w:val="00505755"/>
    <w:rsid w:val="00591A01"/>
    <w:rsid w:val="005D591B"/>
    <w:rsid w:val="005F03A2"/>
    <w:rsid w:val="0062029B"/>
    <w:rsid w:val="00621FEC"/>
    <w:rsid w:val="00633BA6"/>
    <w:rsid w:val="0063621C"/>
    <w:rsid w:val="00655E35"/>
    <w:rsid w:val="00660B8E"/>
    <w:rsid w:val="00691395"/>
    <w:rsid w:val="006D3335"/>
    <w:rsid w:val="0076419F"/>
    <w:rsid w:val="00791235"/>
    <w:rsid w:val="007C4A58"/>
    <w:rsid w:val="00841373"/>
    <w:rsid w:val="00891F30"/>
    <w:rsid w:val="008A2665"/>
    <w:rsid w:val="0094473A"/>
    <w:rsid w:val="00950D77"/>
    <w:rsid w:val="00992F82"/>
    <w:rsid w:val="009A4227"/>
    <w:rsid w:val="009E5E8E"/>
    <w:rsid w:val="00B35188"/>
    <w:rsid w:val="00B41583"/>
    <w:rsid w:val="00CF03A5"/>
    <w:rsid w:val="00D201D5"/>
    <w:rsid w:val="00D264D7"/>
    <w:rsid w:val="00D309D7"/>
    <w:rsid w:val="00E07694"/>
    <w:rsid w:val="00E33F20"/>
    <w:rsid w:val="00EB1A4C"/>
    <w:rsid w:val="058072F7"/>
    <w:rsid w:val="15C63173"/>
    <w:rsid w:val="216A778B"/>
    <w:rsid w:val="2DFE5055"/>
    <w:rsid w:val="2EB15996"/>
    <w:rsid w:val="371D574F"/>
    <w:rsid w:val="412F34D6"/>
    <w:rsid w:val="4EA8131A"/>
    <w:rsid w:val="5DD5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1"/>
    <w:unhideWhenUsed/>
    <w:qFormat/>
    <w:uiPriority w:val="99"/>
    <w:pPr>
      <w:tabs>
        <w:tab w:val="center" w:pos="4680"/>
        <w:tab w:val="right" w:pos="9360"/>
      </w:tabs>
      <w:spacing w:after="0" w:line="240" w:lineRule="auto"/>
    </w:pPr>
  </w:style>
  <w:style w:type="paragraph" w:styleId="4">
    <w:name w:val="header"/>
    <w:basedOn w:val="1"/>
    <w:link w:val="10"/>
    <w:unhideWhenUsed/>
    <w:qFormat/>
    <w:uiPriority w:val="99"/>
    <w:pPr>
      <w:tabs>
        <w:tab w:val="center" w:pos="4680"/>
        <w:tab w:val="right" w:pos="936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16"/>
      <w:szCs w:val="16"/>
    </w:rPr>
  </w:style>
  <w:style w:type="character" w:customStyle="1" w:styleId="10">
    <w:name w:val="Header Char"/>
    <w:basedOn w:val="7"/>
    <w:link w:val="4"/>
    <w:qFormat/>
    <w:uiPriority w:val="99"/>
  </w:style>
  <w:style w:type="character" w:customStyle="1" w:styleId="11">
    <w:name w:val="Footer Char"/>
    <w:basedOn w:val="7"/>
    <w:link w:val="3"/>
    <w:qFormat/>
    <w:uiPriority w:val="99"/>
  </w:style>
  <w:style w:type="character" w:customStyle="1" w:styleId="12">
    <w:name w:val="Comment Text Char"/>
    <w:basedOn w:val="7"/>
    <w:link w:val="2"/>
    <w:semiHidden/>
    <w:qFormat/>
    <w:uiPriority w:val="99"/>
    <w:rPr>
      <w:rFonts w:ascii="Times New Roman" w:hAnsi="Times New Roman" w:eastAsia="宋体"/>
      <w:sz w:val="20"/>
      <w:szCs w:val="20"/>
      <w:lang w:val="en-GB" w:eastAsia="en-US"/>
    </w:rPr>
  </w:style>
  <w:style w:type="paragraph" w:styleId="13">
    <w:name w:val="List Paragraph"/>
    <w:basedOn w:val="1"/>
    <w:qFormat/>
    <w:uiPriority w:val="34"/>
    <w:pPr>
      <w:ind w:left="720"/>
      <w:contextualSpacing/>
    </w:pPr>
  </w:style>
  <w:style w:type="character" w:styleId="14">
    <w:name w:val="Placeholder Text"/>
    <w:basedOn w:val="7"/>
    <w:semiHidden/>
    <w:qFormat/>
    <w:uiPriority w:val="99"/>
    <w:rPr>
      <w:color w:val="808080"/>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1224</Words>
  <Characters>7021</Characters>
  <Lines>55</Lines>
  <Paragraphs>15</Paragraphs>
  <TotalTime>0</TotalTime>
  <ScaleCrop>false</ScaleCrop>
  <LinksUpToDate>false</LinksUpToDate>
  <CharactersWithSpaces>8158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WPS_1337803329</cp:lastModifiedBy>
  <dcterms:modified xsi:type="dcterms:W3CDTF">2025-03-19T02:15:52Z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71BB30112EB74B64B2B391A49F396EDF</vt:lpwstr>
  </property>
  <property fmtid="{D5CDD505-2E9C-101B-9397-08002B2CF9AE}" pid="4" name="KSOTemplateDocerSaveRecord">
    <vt:lpwstr>eyJoZGlkIjoiMDJkMDY1NzNkNjQ2YWM3ZDhjYWY1YjM0NWRlNjFkNDciLCJ1c2VySWQiOiIxMzM3ODAzMzI5In0=</vt:lpwstr>
  </property>
</Properties>
</file>